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F58" w:rsidRPr="006E4F58" w:rsidRDefault="00717CF7"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Pr>
          <w:rFonts w:ascii="Times New Roman" w:eastAsiaTheme="majorEastAsia" w:hAnsi="Times New Roman" w:cstheme="majorBidi"/>
          <w:b/>
          <w:bCs/>
          <w:iCs/>
          <w:sz w:val="24"/>
          <w:szCs w:val="20"/>
        </w:rPr>
        <w:t>SAMPLE</w:t>
      </w:r>
      <w:r w:rsidR="006E4F58" w:rsidRPr="006E4F58">
        <w:rPr>
          <w:rFonts w:ascii="Times New Roman" w:eastAsiaTheme="majorEastAsia" w:hAnsi="Times New Roman" w:cstheme="majorBidi"/>
          <w:b/>
          <w:bCs/>
          <w:iCs/>
          <w:sz w:val="24"/>
          <w:szCs w:val="20"/>
        </w:rPr>
        <w:t xml:space="preserve">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will be paid at the rate of _______ for performing the duties set forth above.  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6.  Assignment of Antitrust Claims.</w:t>
      </w:r>
    </w:p>
    <w:p w:rsidR="006E4F58" w:rsidRPr="006E4F58" w:rsidRDefault="006E4F58" w:rsidP="006E4F58">
      <w:pPr>
        <w:shd w:val="clear" w:color="auto" w:fill="FFFFFF"/>
        <w:spacing w:after="0" w:line="240" w:lineRule="auto"/>
        <w:rPr>
          <w:rFonts w:ascii="Times New Roman" w:eastAsia="Times New Roman" w:hAnsi="Times New Roman" w:cs="Times New Roman"/>
          <w:b/>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State considers the Contractor to be a “Contractor” under 2 C.F.R. 200.330 for purposes of this Contract.  However, if required by applicable provisions of 2 C.F.R. 200 (Uniform Administrative </w:t>
      </w:r>
      <w:r w:rsidRPr="006E4F58">
        <w:rPr>
          <w:rFonts w:ascii="Times New Roman" w:eastAsia="Times New Roman" w:hAnsi="Times New Roman" w:cs="Times New Roman"/>
        </w:rPr>
        <w:lastRenderedPageBreak/>
        <w:t xml:space="preserve">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xml:space="preserve">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8"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w:t>
      </w:r>
      <w:r w:rsidRPr="006E4F58">
        <w:rPr>
          <w:rFonts w:ascii="Times New Roman" w:eastAsia="Times New Roman" w:hAnsi="Times New Roman" w:cs="Times New Roman"/>
        </w:rPr>
        <w:lastRenderedPageBreak/>
        <w:t>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6E4F58" w:rsidRDefault="006E4F58" w:rsidP="006E4F58">
      <w:pPr>
        <w:numPr>
          <w:ilvl w:val="0"/>
          <w:numId w:val="1"/>
        </w:numPr>
        <w:tabs>
          <w:tab w:val="num" w:pos="720"/>
        </w:tabs>
        <w:spacing w:after="0" w:line="240" w:lineRule="auto"/>
        <w:ind w:firstLine="540"/>
        <w:rPr>
          <w:rFonts w:ascii="Times New Roman" w:eastAsia="Times New Roman" w:hAnsi="Times New Roman" w:cs="Times New Roman"/>
        </w:rPr>
      </w:pPr>
      <w:bookmarkStart w:id="3" w:name="_Toc236554569"/>
      <w:r w:rsidRPr="006E4F58">
        <w:rPr>
          <w:rFonts w:ascii="Times New Roman" w:eastAsia="Times New Roman" w:hAnsi="Times New Roman" w:cs="Times New Roman"/>
        </w:rPr>
        <w:t xml:space="preserve"> Furnish phase-in training; and</w:t>
      </w:r>
      <w:bookmarkEnd w:id="3"/>
    </w:p>
    <w:p w:rsidR="006E4F58" w:rsidRPr="006E4F58" w:rsidRDefault="006E4F58" w:rsidP="006E4F58">
      <w:pPr>
        <w:numPr>
          <w:ilvl w:val="0"/>
          <w:numId w:val="1"/>
        </w:numPr>
        <w:tabs>
          <w:tab w:val="num" w:pos="720"/>
        </w:tabs>
        <w:spacing w:after="0" w:line="240" w:lineRule="auto"/>
        <w:ind w:right="-360" w:firstLine="540"/>
        <w:rPr>
          <w:rFonts w:ascii="Times New Roman" w:eastAsia="Times New Roman" w:hAnsi="Times New Roman" w:cs="Times New Roman"/>
        </w:rPr>
      </w:pPr>
      <w:r w:rsidRPr="006E4F58">
        <w:rPr>
          <w:rFonts w:ascii="Times New Roman" w:eastAsia="Times New Roman" w:hAnsi="Times New Roman" w:cs="Times New Roman"/>
        </w:rPr>
        <w:t xml:space="preserve"> 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6E4F58">
      <w:pPr>
        <w:numPr>
          <w:ilvl w:val="0"/>
          <w:numId w:val="2"/>
        </w:numPr>
        <w:tabs>
          <w:tab w:val="clear" w:pos="360"/>
        </w:tabs>
        <w:spacing w:after="0" w:line="240" w:lineRule="auto"/>
        <w:ind w:left="1530" w:hanging="27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Should any s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30 business days of the conclusion of the final presentations, the Commissioner shall issue a written decision and furnish it to both parties.  </w:t>
      </w:r>
      <w:r w:rsidRPr="009C3620">
        <w:rPr>
          <w:rFonts w:ascii="Times New Roman" w:eastAsia="Times New Roman" w:hAnsi="Times New Roman" w:cs="Times New Roman"/>
        </w:rPr>
        <w:t xml:space="preserve">The Commissioner’s decision shall be the final and conclusive administrative decision unless either party serves on the Commissioner and the other party, within ten business days after receipt of the Commissioner’s decision, a written request for reconsideration and modification of the written decision.  If the Commissioner does not modify the written decision within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P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w:t>
      </w:r>
    </w:p>
    <w:p w:rsidR="006E4F58" w:rsidRPr="006E4F58" w:rsidRDefault="006E4F58" w:rsidP="006E4F58">
      <w:pPr>
        <w:keepNext/>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18.  Employment Eligibility Verification.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25.  Independent Contractor; Workers’ Compensation Insurance.</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6E4F58">
      <w:pPr>
        <w:rPr>
          <w:rFonts w:ascii="Times New Roman" w:eastAsia="Times New Roman" w:hAnsi="Times New Roman" w:cs="Times New Roman"/>
          <w:b/>
          <w:bCs/>
        </w:rPr>
      </w:pPr>
      <w:r w:rsidRPr="006E4F58">
        <w:rPr>
          <w:rFonts w:ascii="Times New Roman" w:eastAsia="Times New Roman" w:hAnsi="Times New Roman" w:cs="Times New Roman"/>
          <w:b/>
          <w:bCs/>
        </w:rPr>
        <w:t xml:space="preserve">26.  Information Technology Enterprise Architecture Requirements.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 xml:space="preserve">2015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6E4F58" w:rsidRPr="006E4F58" w:rsidRDefault="006E4F58" w:rsidP="006E4F58">
      <w:pPr>
        <w:spacing w:after="0" w:line="240" w:lineRule="auto"/>
        <w:rPr>
          <w:rFonts w:ascii="Times New Roman" w:eastAsia="Times New Roman" w:hAnsi="Times New Roman" w:cs="Times New Roman"/>
        </w:rPr>
      </w:pPr>
      <w:r w:rsidRPr="006E4F58">
        <w:rPr>
          <w:rFonts w:ascii="Cambria" w:eastAsia="Times New Roman" w:hAnsi="Cambria" w:cs="Times New Roman"/>
        </w:rPr>
        <w:t>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[Contractor]</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[Indiana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Name and Title, Printed</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Name and Title, Printed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Approved by: </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t>Approved by:</w:t>
      </w:r>
      <w:r w:rsidRPr="006E4F58">
        <w:rPr>
          <w:rFonts w:ascii="Times New Roman" w:eastAsia="Times New Roman" w:hAnsi="Times New Roman" w:cs="Times New Roman"/>
        </w:rPr>
        <w:t xml:space="preserve">    </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Indiana Department of Administration </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State Budget Agency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highlight w:val="yellow"/>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 ________________________________(for)</w:t>
      </w:r>
      <w:r w:rsidRPr="006E4F58">
        <w:rPr>
          <w:rFonts w:ascii="Times New Roman" w:eastAsia="Times New Roman" w:hAnsi="Times New Roman" w:cs="Times New Roman"/>
        </w:rPr>
        <w:tab/>
      </w:r>
      <w:r w:rsidRPr="006E4F58">
        <w:rPr>
          <w:rFonts w:ascii="Times New Roman" w:eastAsia="Times New Roman" w:hAnsi="Times New Roman" w:cs="Times New Roman"/>
        </w:rPr>
        <w:tab/>
        <w:t>By:  _______________________________ (for)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Jessica Robertson, Commissioner</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Brian E. Bailey, Director</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Date:________________________________ </w:t>
      </w:r>
      <w:r w:rsidRPr="006E4F58">
        <w:rPr>
          <w:rFonts w:ascii="Times New Roman" w:eastAsia="Times New Roman" w:hAnsi="Times New Roman" w:cs="Times New Roman"/>
        </w:rPr>
        <w:tab/>
      </w:r>
      <w:r w:rsidRPr="006E4F58">
        <w:rPr>
          <w:rFonts w:ascii="Times New Roman" w:eastAsia="Times New Roman" w:hAnsi="Times New Roman" w:cs="Times New Roman"/>
        </w:rPr>
        <w:tab/>
        <w:t>Date: _________________________________</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APPROVED as to Form and Legality:</w:t>
      </w: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Office of the Attorney General</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___________________________________(for)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Gregory F. Zoeller, Attorney General</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Approved by:</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Indiana Office of Technology</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rPr>
        <w:t>By: __________________________________ (for)</w:t>
      </w:r>
      <w:r w:rsidRPr="006E4F58">
        <w:rPr>
          <w:rFonts w:ascii="Times New Roman" w:eastAsia="Times New Roman" w:hAnsi="Times New Roman" w:cs="Times New Roman"/>
          <w:b/>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Paul Baltzell, Chief Information Officer</w:t>
      </w:r>
    </w:p>
    <w:p w:rsidR="006E4F58" w:rsidRPr="006E4F58" w:rsidRDefault="006E4F58" w:rsidP="006E4F58">
      <w:pPr>
        <w:spacing w:after="0" w:line="240" w:lineRule="auto"/>
        <w:rPr>
          <w:rFonts w:ascii="Times New Roman" w:eastAsia="Times New Roman" w:hAnsi="Times New Roman" w:cs="Times New Roman"/>
        </w:rPr>
      </w:pPr>
    </w:p>
    <w:p w:rsidR="00291E2A"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 _________________________________</w:t>
      </w:r>
    </w:p>
    <w:sectPr w:rsidR="00291E2A" w:rsidRPr="006E4F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99" w:rsidRDefault="00587D99" w:rsidP="00C96F20">
      <w:pPr>
        <w:spacing w:after="0" w:line="240" w:lineRule="auto"/>
      </w:pPr>
      <w:r>
        <w:separator/>
      </w:r>
    </w:p>
  </w:endnote>
  <w:endnote w:type="continuationSeparator" w:id="0">
    <w:p w:rsidR="00587D99" w:rsidRDefault="00587D99"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07E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07E2">
              <w:rPr>
                <w:b/>
                <w:bCs/>
                <w:noProof/>
              </w:rPr>
              <w:t>3</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99" w:rsidRDefault="00587D99" w:rsidP="00C96F20">
      <w:pPr>
        <w:spacing w:after="0" w:line="240" w:lineRule="auto"/>
      </w:pPr>
      <w:r>
        <w:separator/>
      </w:r>
    </w:p>
  </w:footnote>
  <w:footnote w:type="continuationSeparator" w:id="0">
    <w:p w:rsidR="00587D99" w:rsidRDefault="00587D99"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F58"/>
    <w:rsid w:val="0025187C"/>
    <w:rsid w:val="00291E2A"/>
    <w:rsid w:val="002A617D"/>
    <w:rsid w:val="004807E2"/>
    <w:rsid w:val="00587D99"/>
    <w:rsid w:val="005B3DEB"/>
    <w:rsid w:val="00623E6B"/>
    <w:rsid w:val="006E4F58"/>
    <w:rsid w:val="00717CF7"/>
    <w:rsid w:val="009C3620"/>
    <w:rsid w:val="00A4051F"/>
    <w:rsid w:val="00C96F20"/>
    <w:rsid w:val="00D2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7464</Words>
  <Characters>42549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Stephen Raher</cp:lastModifiedBy>
  <cp:revision>2</cp:revision>
  <dcterms:created xsi:type="dcterms:W3CDTF">2017-03-21T22:14:00Z</dcterms:created>
  <dcterms:modified xsi:type="dcterms:W3CDTF">2017-03-21T22:14:00Z</dcterms:modified>
</cp:coreProperties>
</file>